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B535" w14:textId="7448CF81" w:rsidR="0053254F" w:rsidRPr="00395080" w:rsidRDefault="00D35CEF" w:rsidP="00D35CEF">
      <w:pPr>
        <w:spacing w:after="0"/>
        <w:jc w:val="center"/>
        <w:rPr>
          <w:rFonts w:ascii="Times New Roman" w:hAnsi="Times New Roman" w:cs="Times New Roman"/>
          <w:b/>
          <w:bCs/>
          <w:color w:val="006666"/>
          <w:sz w:val="36"/>
          <w:szCs w:val="36"/>
        </w:rPr>
      </w:pPr>
      <w:r w:rsidRPr="00395080">
        <w:rPr>
          <w:b/>
          <w:bCs/>
          <w:noProof/>
        </w:rPr>
        <w:drawing>
          <wp:anchor distT="0" distB="0" distL="114300" distR="114300" simplePos="0" relativeHeight="251659264" behindDoc="0" locked="0" layoutInCell="1" allowOverlap="1" wp14:anchorId="7BABA8EC" wp14:editId="13F8C5C2">
            <wp:simplePos x="0" y="0"/>
            <wp:positionH relativeFrom="column">
              <wp:posOffset>-314325</wp:posOffset>
            </wp:positionH>
            <wp:positionV relativeFrom="paragraph">
              <wp:posOffset>-383540</wp:posOffset>
            </wp:positionV>
            <wp:extent cx="1514475" cy="1047750"/>
            <wp:effectExtent l="0" t="0" r="9525" b="0"/>
            <wp:wrapNone/>
            <wp:docPr id="127955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6532" name=""/>
                    <pic:cNvPicPr/>
                  </pic:nvPicPr>
                  <pic:blipFill>
                    <a:blip r:embed="rId6">
                      <a:extLst>
                        <a:ext uri="{28A0092B-C50C-407E-A947-70E740481C1C}">
                          <a14:useLocalDpi xmlns:a14="http://schemas.microsoft.com/office/drawing/2010/main" val="0"/>
                        </a:ext>
                      </a:extLst>
                    </a:blip>
                    <a:stretch>
                      <a:fillRect/>
                    </a:stretch>
                  </pic:blipFill>
                  <pic:spPr>
                    <a:xfrm>
                      <a:off x="0" y="0"/>
                      <a:ext cx="1514475" cy="1047750"/>
                    </a:xfrm>
                    <a:prstGeom prst="rect">
                      <a:avLst/>
                    </a:prstGeom>
                  </pic:spPr>
                </pic:pic>
              </a:graphicData>
            </a:graphic>
          </wp:anchor>
        </w:drawing>
      </w:r>
      <w:r w:rsidRPr="00395080">
        <w:rPr>
          <w:rFonts w:ascii="Times New Roman" w:hAnsi="Times New Roman" w:cs="Times New Roman"/>
          <w:b/>
          <w:bCs/>
          <w:color w:val="006666"/>
          <w:sz w:val="36"/>
          <w:szCs w:val="36"/>
        </w:rPr>
        <w:t>Community Health and Counseling Services</w:t>
      </w:r>
    </w:p>
    <w:p w14:paraId="2CA936EB" w14:textId="2FE160BC" w:rsidR="00D35CEF" w:rsidRPr="00395080" w:rsidRDefault="00D35CEF" w:rsidP="00D35CEF">
      <w:pPr>
        <w:spacing w:after="0"/>
        <w:jc w:val="center"/>
        <w:rPr>
          <w:rFonts w:ascii="Times New Roman" w:hAnsi="Times New Roman" w:cs="Times New Roman"/>
          <w:b/>
          <w:bCs/>
          <w:color w:val="006666"/>
          <w:sz w:val="28"/>
          <w:szCs w:val="28"/>
        </w:rPr>
      </w:pPr>
      <w:r w:rsidRPr="00395080">
        <w:rPr>
          <w:rFonts w:ascii="Times New Roman" w:hAnsi="Times New Roman" w:cs="Times New Roman"/>
          <w:b/>
          <w:bCs/>
          <w:color w:val="006666"/>
          <w:sz w:val="28"/>
          <w:szCs w:val="28"/>
        </w:rPr>
        <w:t>Financial Assistance Sliding Fee Scale Table</w:t>
      </w:r>
    </w:p>
    <w:p w14:paraId="5FF7D34E" w14:textId="77777777" w:rsidR="00D35CEF" w:rsidRDefault="00D35CEF" w:rsidP="00D35CEF">
      <w:pPr>
        <w:spacing w:after="0"/>
        <w:jc w:val="center"/>
        <w:rPr>
          <w:rFonts w:ascii="Times New Roman" w:hAnsi="Times New Roman" w:cs="Times New Roman"/>
          <w:color w:val="006666"/>
          <w:sz w:val="28"/>
          <w:szCs w:val="28"/>
        </w:rPr>
      </w:pPr>
    </w:p>
    <w:p w14:paraId="72C31486" w14:textId="66B9FE53" w:rsidR="00D35CEF" w:rsidRPr="00BC6837" w:rsidRDefault="00D35CEF" w:rsidP="00BC6837">
      <w:pPr>
        <w:spacing w:line="252" w:lineRule="exact"/>
        <w:ind w:left="72"/>
        <w:jc w:val="center"/>
        <w:textAlignment w:val="baseline"/>
        <w:rPr>
          <w:rFonts w:ascii="Times New Roman" w:eastAsia="Times New Roman" w:hAnsi="Times New Roman" w:cs="Times New Roman"/>
          <w:sz w:val="24"/>
          <w:szCs w:val="24"/>
        </w:rPr>
      </w:pPr>
      <w:r w:rsidRPr="00BC6837">
        <w:rPr>
          <w:rFonts w:ascii="Times New Roman" w:eastAsia="Times New Roman" w:hAnsi="Times New Roman" w:cs="Times New Roman"/>
          <w:color w:val="000000"/>
          <w:sz w:val="24"/>
          <w:szCs w:val="24"/>
        </w:rPr>
        <w:t>It is the policy of Community Health and Counseling Services (CHCS) to have clear processes and</w:t>
      </w:r>
      <w:r w:rsidR="00EA7B8B" w:rsidRPr="00BC6837">
        <w:rPr>
          <w:rFonts w:ascii="Times New Roman" w:eastAsia="Times New Roman" w:hAnsi="Times New Roman" w:cs="Times New Roman"/>
          <w:color w:val="000000"/>
          <w:sz w:val="24"/>
          <w:szCs w:val="24"/>
        </w:rPr>
        <w:t xml:space="preserve"> </w:t>
      </w:r>
      <w:r w:rsidRPr="00BC6837">
        <w:rPr>
          <w:rFonts w:ascii="Times New Roman" w:eastAsia="Times New Roman" w:hAnsi="Times New Roman" w:cs="Times New Roman"/>
          <w:color w:val="000000"/>
          <w:sz w:val="24"/>
          <w:szCs w:val="24"/>
        </w:rPr>
        <w:t xml:space="preserve">instructions </w:t>
      </w:r>
      <w:r w:rsidRPr="00BC6837">
        <w:rPr>
          <w:rFonts w:ascii="Times New Roman" w:eastAsia="Times New Roman" w:hAnsi="Times New Roman" w:cs="Times New Roman"/>
          <w:bCs/>
          <w:color w:val="000000"/>
          <w:sz w:val="24"/>
          <w:szCs w:val="24"/>
        </w:rPr>
        <w:t>for</w:t>
      </w:r>
      <w:r w:rsidRPr="00BC6837">
        <w:rPr>
          <w:rFonts w:ascii="Times New Roman" w:eastAsia="Times New Roman" w:hAnsi="Times New Roman" w:cs="Times New Roman"/>
          <w:b/>
          <w:color w:val="000000"/>
          <w:sz w:val="24"/>
          <w:szCs w:val="24"/>
        </w:rPr>
        <w:t xml:space="preserve"> </w:t>
      </w:r>
      <w:r w:rsidRPr="00BC6837">
        <w:rPr>
          <w:rFonts w:ascii="Times New Roman" w:eastAsia="Times New Roman" w:hAnsi="Times New Roman" w:cs="Times New Roman"/>
          <w:bCs/>
          <w:color w:val="000000"/>
          <w:sz w:val="24"/>
          <w:szCs w:val="24"/>
        </w:rPr>
        <w:t>clients</w:t>
      </w:r>
      <w:r w:rsidRPr="00BC6837">
        <w:rPr>
          <w:rFonts w:ascii="Times New Roman" w:eastAsia="Times New Roman" w:hAnsi="Times New Roman" w:cs="Times New Roman"/>
          <w:b/>
          <w:color w:val="000000"/>
          <w:sz w:val="24"/>
          <w:szCs w:val="24"/>
        </w:rPr>
        <w:t>/</w:t>
      </w:r>
      <w:r w:rsidRPr="00BC6837">
        <w:rPr>
          <w:rFonts w:ascii="Times New Roman" w:eastAsia="Times New Roman" w:hAnsi="Times New Roman" w:cs="Times New Roman"/>
          <w:color w:val="000000"/>
          <w:sz w:val="24"/>
          <w:szCs w:val="24"/>
        </w:rPr>
        <w:t xml:space="preserve">patients with regard to their financial obligations. </w:t>
      </w:r>
      <w:r w:rsidRPr="00BC6837">
        <w:rPr>
          <w:rFonts w:ascii="Times New Roman" w:eastAsia="Times New Roman" w:hAnsi="Times New Roman" w:cs="Times New Roman"/>
          <w:sz w:val="24"/>
          <w:szCs w:val="24"/>
        </w:rPr>
        <w:t>CHCS has a sliding fee scale that includes all behavioral health services provided. The sliding fee scale meets state and federal requirements, locally prevailing rates or charges and is consistent with Certified Community Behavioral Health Clinic (CCBHC) clinic rates and charges. If you are interested in applying for a sliding fee scale, please speak with your provider or the front desk.</w:t>
      </w:r>
    </w:p>
    <w:p w14:paraId="07C0ABED" w14:textId="085EA008" w:rsidR="00EA7B8B" w:rsidRPr="00BC6837" w:rsidRDefault="00EA7B8B" w:rsidP="00BC6837">
      <w:pPr>
        <w:spacing w:before="3" w:line="256" w:lineRule="exact"/>
        <w:ind w:left="72"/>
        <w:jc w:val="center"/>
        <w:textAlignment w:val="baseline"/>
        <w:rPr>
          <w:rFonts w:ascii="Times New Roman" w:eastAsia="Times New Roman" w:hAnsi="Times New Roman" w:cs="Times New Roman"/>
          <w:sz w:val="24"/>
          <w:szCs w:val="24"/>
        </w:rPr>
      </w:pPr>
      <w:r w:rsidRPr="00BC6837">
        <w:rPr>
          <w:rFonts w:ascii="Times New Roman" w:eastAsia="Times New Roman" w:hAnsi="Times New Roman" w:cs="Times New Roman"/>
          <w:sz w:val="24"/>
          <w:szCs w:val="24"/>
        </w:rPr>
        <w:t>Sliding fee scale visit amounts are based on your ability to pay as established by the chart below. Annual income limits in the chart are based on the current Federal Poverty Level (FPL) guidelines that are updated annually. CHCS reserves the right to review the Certified Behavioral Health Clinic (CCBHC) rates more frequently than annually. If you receive a sliding fee amount it will be reviewed annually.</w:t>
      </w:r>
    </w:p>
    <w:p w14:paraId="6132DEF0" w14:textId="2B73BDD9" w:rsidR="00EA7B8B" w:rsidRPr="00EA7B8B" w:rsidRDefault="00EA7B8B" w:rsidP="00D35CEF">
      <w:pPr>
        <w:spacing w:before="3" w:line="256" w:lineRule="exact"/>
        <w:ind w:left="72"/>
        <w:textAlignment w:val="baseline"/>
        <w:rPr>
          <w:rFonts w:ascii="Times New Roman" w:eastAsia="Times New Roman" w:hAnsi="Times New Roman" w:cs="Times New Roman"/>
          <w:sz w:val="28"/>
          <w:szCs w:val="28"/>
        </w:rPr>
      </w:pPr>
    </w:p>
    <w:tbl>
      <w:tblPr>
        <w:tblStyle w:val="TableGrid"/>
        <w:tblW w:w="10220" w:type="dxa"/>
        <w:jc w:val="center"/>
        <w:tblLook w:val="04A0" w:firstRow="1" w:lastRow="0" w:firstColumn="1" w:lastColumn="0" w:noHBand="0" w:noVBand="1"/>
      </w:tblPr>
      <w:tblGrid>
        <w:gridCol w:w="2555"/>
        <w:gridCol w:w="2555"/>
        <w:gridCol w:w="2555"/>
        <w:gridCol w:w="2555"/>
      </w:tblGrid>
      <w:tr w:rsidR="00EA7B8B" w14:paraId="072A864C" w14:textId="77777777" w:rsidTr="00EA7B8B">
        <w:trPr>
          <w:trHeight w:val="966"/>
          <w:jc w:val="center"/>
        </w:trPr>
        <w:tc>
          <w:tcPr>
            <w:tcW w:w="2555" w:type="dxa"/>
            <w:shd w:val="clear" w:color="auto" w:fill="A6A6A6" w:themeFill="background1" w:themeFillShade="A6"/>
          </w:tcPr>
          <w:p w14:paraId="03ABD881" w14:textId="77777777" w:rsidR="00EA7B8B" w:rsidRPr="00EA7B8B" w:rsidRDefault="00EA7B8B" w:rsidP="00EA7B8B">
            <w:pPr>
              <w:jc w:val="center"/>
              <w:rPr>
                <w:b/>
                <w:bCs/>
              </w:rPr>
            </w:pPr>
            <w:r w:rsidRPr="00EA7B8B">
              <w:rPr>
                <w:b/>
                <w:bCs/>
              </w:rPr>
              <w:t>Family Size</w:t>
            </w:r>
          </w:p>
        </w:tc>
        <w:tc>
          <w:tcPr>
            <w:tcW w:w="2555" w:type="dxa"/>
            <w:shd w:val="clear" w:color="auto" w:fill="A6A6A6" w:themeFill="background1" w:themeFillShade="A6"/>
          </w:tcPr>
          <w:p w14:paraId="729D7ACB" w14:textId="77777777" w:rsidR="00EA7B8B" w:rsidRPr="00EA7B8B" w:rsidRDefault="00EA7B8B" w:rsidP="00EA7B8B">
            <w:pPr>
              <w:jc w:val="center"/>
              <w:rPr>
                <w:b/>
                <w:bCs/>
              </w:rPr>
            </w:pPr>
            <w:r w:rsidRPr="00EA7B8B">
              <w:rPr>
                <w:b/>
                <w:bCs/>
              </w:rPr>
              <w:t>Annual Income (at or below 100% of FPL)</w:t>
            </w:r>
          </w:p>
        </w:tc>
        <w:tc>
          <w:tcPr>
            <w:tcW w:w="2555" w:type="dxa"/>
            <w:shd w:val="clear" w:color="auto" w:fill="A6A6A6" w:themeFill="background1" w:themeFillShade="A6"/>
          </w:tcPr>
          <w:p w14:paraId="1E7CA4DA" w14:textId="73E6D623" w:rsidR="00EA7B8B" w:rsidRPr="00EA7B8B" w:rsidRDefault="00EA7B8B" w:rsidP="00EA7B8B">
            <w:pPr>
              <w:jc w:val="center"/>
              <w:rPr>
                <w:b/>
                <w:bCs/>
              </w:rPr>
            </w:pPr>
            <w:r w:rsidRPr="00EA7B8B">
              <w:rPr>
                <w:b/>
                <w:bCs/>
              </w:rPr>
              <w:t>Annual Income (between 101%-150% of FPL)</w:t>
            </w:r>
          </w:p>
        </w:tc>
        <w:tc>
          <w:tcPr>
            <w:tcW w:w="2555" w:type="dxa"/>
            <w:shd w:val="clear" w:color="auto" w:fill="A6A6A6" w:themeFill="background1" w:themeFillShade="A6"/>
          </w:tcPr>
          <w:p w14:paraId="2ECCF046" w14:textId="77777777" w:rsidR="00EA7B8B" w:rsidRPr="00EA7B8B" w:rsidRDefault="00EA7B8B" w:rsidP="00EA7B8B">
            <w:pPr>
              <w:jc w:val="center"/>
              <w:rPr>
                <w:b/>
                <w:bCs/>
              </w:rPr>
            </w:pPr>
            <w:r w:rsidRPr="00EA7B8B">
              <w:rPr>
                <w:b/>
                <w:bCs/>
              </w:rPr>
              <w:t>Annual Income (between 151-200% of FPL)</w:t>
            </w:r>
          </w:p>
        </w:tc>
      </w:tr>
      <w:tr w:rsidR="00EA7B8B" w14:paraId="03C6761B" w14:textId="77777777" w:rsidTr="00EA7B8B">
        <w:trPr>
          <w:trHeight w:val="316"/>
          <w:jc w:val="center"/>
        </w:trPr>
        <w:tc>
          <w:tcPr>
            <w:tcW w:w="2555" w:type="dxa"/>
          </w:tcPr>
          <w:p w14:paraId="056ED56C" w14:textId="77777777" w:rsidR="00EA7B8B" w:rsidRDefault="00EA7B8B" w:rsidP="00EA7B8B">
            <w:pPr>
              <w:jc w:val="center"/>
            </w:pPr>
            <w:r>
              <w:t>1</w:t>
            </w:r>
          </w:p>
        </w:tc>
        <w:tc>
          <w:tcPr>
            <w:tcW w:w="2555" w:type="dxa"/>
          </w:tcPr>
          <w:p w14:paraId="07FE527A" w14:textId="2B57CDF9" w:rsidR="00EA7B8B" w:rsidRDefault="00EA7B8B" w:rsidP="00EA7B8B">
            <w:pPr>
              <w:jc w:val="center"/>
            </w:pPr>
            <w:r>
              <w:t>$0-$15,060</w:t>
            </w:r>
          </w:p>
        </w:tc>
        <w:tc>
          <w:tcPr>
            <w:tcW w:w="2555" w:type="dxa"/>
          </w:tcPr>
          <w:p w14:paraId="42AEB550" w14:textId="52971360" w:rsidR="00EA7B8B" w:rsidRDefault="00EA7B8B" w:rsidP="00EA7B8B">
            <w:pPr>
              <w:jc w:val="center"/>
            </w:pPr>
            <w:r>
              <w:t>$15,061-$22,590</w:t>
            </w:r>
          </w:p>
        </w:tc>
        <w:tc>
          <w:tcPr>
            <w:tcW w:w="2555" w:type="dxa"/>
          </w:tcPr>
          <w:p w14:paraId="436E913C" w14:textId="7BC9E406" w:rsidR="00EA7B8B" w:rsidRDefault="00EA7B8B" w:rsidP="00EA7B8B">
            <w:pPr>
              <w:jc w:val="center"/>
            </w:pPr>
            <w:r>
              <w:t>$22,591-$30,120</w:t>
            </w:r>
          </w:p>
        </w:tc>
      </w:tr>
      <w:tr w:rsidR="00EA7B8B" w14:paraId="402109E5" w14:textId="77777777" w:rsidTr="00EA7B8B">
        <w:trPr>
          <w:trHeight w:val="316"/>
          <w:jc w:val="center"/>
        </w:trPr>
        <w:tc>
          <w:tcPr>
            <w:tcW w:w="2555" w:type="dxa"/>
            <w:shd w:val="clear" w:color="auto" w:fill="D9D9D9" w:themeFill="background1" w:themeFillShade="D9"/>
          </w:tcPr>
          <w:p w14:paraId="6FAD8BF9" w14:textId="77777777" w:rsidR="00EA7B8B" w:rsidRDefault="00EA7B8B" w:rsidP="00EA7B8B">
            <w:pPr>
              <w:jc w:val="center"/>
            </w:pPr>
            <w:r>
              <w:t>2</w:t>
            </w:r>
          </w:p>
        </w:tc>
        <w:tc>
          <w:tcPr>
            <w:tcW w:w="2555" w:type="dxa"/>
            <w:shd w:val="clear" w:color="auto" w:fill="D9D9D9" w:themeFill="background1" w:themeFillShade="D9"/>
          </w:tcPr>
          <w:p w14:paraId="6FDFC910" w14:textId="0E5D4E43" w:rsidR="00EA7B8B" w:rsidRDefault="00EA7B8B" w:rsidP="00EA7B8B">
            <w:pPr>
              <w:jc w:val="center"/>
            </w:pPr>
            <w:r w:rsidRPr="005B1714">
              <w:t>$0-$20,440</w:t>
            </w:r>
          </w:p>
        </w:tc>
        <w:tc>
          <w:tcPr>
            <w:tcW w:w="2555" w:type="dxa"/>
            <w:shd w:val="clear" w:color="auto" w:fill="D9D9D9" w:themeFill="background1" w:themeFillShade="D9"/>
          </w:tcPr>
          <w:p w14:paraId="77316385" w14:textId="484C9F6F" w:rsidR="00EA7B8B" w:rsidRDefault="00EA7B8B" w:rsidP="00EA7B8B">
            <w:pPr>
              <w:jc w:val="center"/>
            </w:pPr>
            <w:r>
              <w:t>$20,441-$30,660</w:t>
            </w:r>
          </w:p>
        </w:tc>
        <w:tc>
          <w:tcPr>
            <w:tcW w:w="2555" w:type="dxa"/>
            <w:shd w:val="clear" w:color="auto" w:fill="D9D9D9" w:themeFill="background1" w:themeFillShade="D9"/>
          </w:tcPr>
          <w:p w14:paraId="3CC3D722" w14:textId="49639F15" w:rsidR="00EA7B8B" w:rsidRDefault="00EA7B8B" w:rsidP="00EA7B8B">
            <w:pPr>
              <w:jc w:val="center"/>
            </w:pPr>
            <w:r>
              <w:t>$30,661-$40,880</w:t>
            </w:r>
          </w:p>
        </w:tc>
      </w:tr>
      <w:tr w:rsidR="00EA7B8B" w14:paraId="785FA77B" w14:textId="77777777" w:rsidTr="00EA7B8B">
        <w:trPr>
          <w:trHeight w:val="330"/>
          <w:jc w:val="center"/>
        </w:trPr>
        <w:tc>
          <w:tcPr>
            <w:tcW w:w="2555" w:type="dxa"/>
          </w:tcPr>
          <w:p w14:paraId="4E85682A" w14:textId="77777777" w:rsidR="00EA7B8B" w:rsidRDefault="00EA7B8B" w:rsidP="00EA7B8B">
            <w:pPr>
              <w:jc w:val="center"/>
            </w:pPr>
            <w:r>
              <w:t>3</w:t>
            </w:r>
          </w:p>
        </w:tc>
        <w:tc>
          <w:tcPr>
            <w:tcW w:w="2555" w:type="dxa"/>
          </w:tcPr>
          <w:p w14:paraId="6EF9E228" w14:textId="0DDAC53E" w:rsidR="00EA7B8B" w:rsidRDefault="00EA7B8B" w:rsidP="00EA7B8B">
            <w:pPr>
              <w:jc w:val="center"/>
            </w:pPr>
            <w:r w:rsidRPr="005B1714">
              <w:t>$0-$25,820</w:t>
            </w:r>
          </w:p>
        </w:tc>
        <w:tc>
          <w:tcPr>
            <w:tcW w:w="2555" w:type="dxa"/>
          </w:tcPr>
          <w:p w14:paraId="0365FCA4" w14:textId="1A346794" w:rsidR="00EA7B8B" w:rsidRDefault="00EA7B8B" w:rsidP="00EA7B8B">
            <w:pPr>
              <w:jc w:val="center"/>
            </w:pPr>
            <w:r>
              <w:t>$25,821-$38,730</w:t>
            </w:r>
          </w:p>
        </w:tc>
        <w:tc>
          <w:tcPr>
            <w:tcW w:w="2555" w:type="dxa"/>
          </w:tcPr>
          <w:p w14:paraId="7A99C676" w14:textId="66505F72" w:rsidR="00EA7B8B" w:rsidRDefault="00EA7B8B" w:rsidP="00EA7B8B">
            <w:pPr>
              <w:jc w:val="center"/>
            </w:pPr>
            <w:r>
              <w:t>$38,731-$51,640</w:t>
            </w:r>
          </w:p>
        </w:tc>
      </w:tr>
      <w:tr w:rsidR="00EA7B8B" w14:paraId="3989E99B" w14:textId="77777777" w:rsidTr="00EA7B8B">
        <w:trPr>
          <w:trHeight w:val="316"/>
          <w:jc w:val="center"/>
        </w:trPr>
        <w:tc>
          <w:tcPr>
            <w:tcW w:w="2555" w:type="dxa"/>
            <w:shd w:val="clear" w:color="auto" w:fill="D9D9D9" w:themeFill="background1" w:themeFillShade="D9"/>
          </w:tcPr>
          <w:p w14:paraId="08A91B63" w14:textId="77777777" w:rsidR="00EA7B8B" w:rsidRDefault="00EA7B8B" w:rsidP="00EA7B8B">
            <w:pPr>
              <w:jc w:val="center"/>
            </w:pPr>
            <w:r>
              <w:t>4</w:t>
            </w:r>
          </w:p>
        </w:tc>
        <w:tc>
          <w:tcPr>
            <w:tcW w:w="2555" w:type="dxa"/>
            <w:shd w:val="clear" w:color="auto" w:fill="D9D9D9" w:themeFill="background1" w:themeFillShade="D9"/>
          </w:tcPr>
          <w:p w14:paraId="5A8C68A0" w14:textId="7409C9A2" w:rsidR="00EA7B8B" w:rsidRDefault="00EA7B8B" w:rsidP="00EA7B8B">
            <w:pPr>
              <w:jc w:val="center"/>
            </w:pPr>
            <w:r w:rsidRPr="005B1714">
              <w:t>$0-$31,200</w:t>
            </w:r>
          </w:p>
        </w:tc>
        <w:tc>
          <w:tcPr>
            <w:tcW w:w="2555" w:type="dxa"/>
            <w:shd w:val="clear" w:color="auto" w:fill="D9D9D9" w:themeFill="background1" w:themeFillShade="D9"/>
          </w:tcPr>
          <w:p w14:paraId="57969CCA" w14:textId="4C29278E" w:rsidR="00EA7B8B" w:rsidRDefault="00EA7B8B" w:rsidP="00EA7B8B">
            <w:pPr>
              <w:jc w:val="center"/>
            </w:pPr>
            <w:r>
              <w:t>$31,201-$46,800</w:t>
            </w:r>
          </w:p>
        </w:tc>
        <w:tc>
          <w:tcPr>
            <w:tcW w:w="2555" w:type="dxa"/>
            <w:shd w:val="clear" w:color="auto" w:fill="D9D9D9" w:themeFill="background1" w:themeFillShade="D9"/>
          </w:tcPr>
          <w:p w14:paraId="4809C2FB" w14:textId="61DF4827" w:rsidR="00EA7B8B" w:rsidRDefault="00EA7B8B" w:rsidP="00EA7B8B">
            <w:pPr>
              <w:jc w:val="center"/>
            </w:pPr>
            <w:r>
              <w:t>$46,801-$62,400</w:t>
            </w:r>
          </w:p>
        </w:tc>
      </w:tr>
      <w:tr w:rsidR="00EA7B8B" w14:paraId="2425739B" w14:textId="77777777" w:rsidTr="00EA7B8B">
        <w:trPr>
          <w:trHeight w:val="316"/>
          <w:jc w:val="center"/>
        </w:trPr>
        <w:tc>
          <w:tcPr>
            <w:tcW w:w="2555" w:type="dxa"/>
          </w:tcPr>
          <w:p w14:paraId="7AD3B1A7" w14:textId="77777777" w:rsidR="00EA7B8B" w:rsidRDefault="00EA7B8B" w:rsidP="00EA7B8B">
            <w:pPr>
              <w:jc w:val="center"/>
            </w:pPr>
            <w:r>
              <w:t>5</w:t>
            </w:r>
          </w:p>
        </w:tc>
        <w:tc>
          <w:tcPr>
            <w:tcW w:w="2555" w:type="dxa"/>
          </w:tcPr>
          <w:p w14:paraId="26534569" w14:textId="223973B1" w:rsidR="00EA7B8B" w:rsidRDefault="00EA7B8B" w:rsidP="00EA7B8B">
            <w:pPr>
              <w:jc w:val="center"/>
            </w:pPr>
            <w:r w:rsidRPr="0095193F">
              <w:t>$0-$36,580</w:t>
            </w:r>
          </w:p>
        </w:tc>
        <w:tc>
          <w:tcPr>
            <w:tcW w:w="2555" w:type="dxa"/>
          </w:tcPr>
          <w:p w14:paraId="639A9CCB" w14:textId="61B19AA7" w:rsidR="00EA7B8B" w:rsidRDefault="00EA7B8B" w:rsidP="00EA7B8B">
            <w:pPr>
              <w:jc w:val="center"/>
            </w:pPr>
            <w:r>
              <w:t>$36,581-$54,870</w:t>
            </w:r>
          </w:p>
        </w:tc>
        <w:tc>
          <w:tcPr>
            <w:tcW w:w="2555" w:type="dxa"/>
          </w:tcPr>
          <w:p w14:paraId="3D7DF4CF" w14:textId="7586DC3F" w:rsidR="00EA7B8B" w:rsidRDefault="00EA7B8B" w:rsidP="00EA7B8B">
            <w:pPr>
              <w:jc w:val="center"/>
            </w:pPr>
            <w:r>
              <w:t>$54,871-$73,160</w:t>
            </w:r>
          </w:p>
        </w:tc>
      </w:tr>
      <w:tr w:rsidR="00EA7B8B" w14:paraId="38D3C689" w14:textId="77777777" w:rsidTr="00EA7B8B">
        <w:trPr>
          <w:trHeight w:val="316"/>
          <w:jc w:val="center"/>
        </w:trPr>
        <w:tc>
          <w:tcPr>
            <w:tcW w:w="2555" w:type="dxa"/>
            <w:shd w:val="clear" w:color="auto" w:fill="D9D9D9" w:themeFill="background1" w:themeFillShade="D9"/>
          </w:tcPr>
          <w:p w14:paraId="4BD0C2F2" w14:textId="77777777" w:rsidR="00EA7B8B" w:rsidRDefault="00EA7B8B" w:rsidP="00EA7B8B">
            <w:pPr>
              <w:jc w:val="center"/>
            </w:pPr>
            <w:r>
              <w:t>6</w:t>
            </w:r>
          </w:p>
        </w:tc>
        <w:tc>
          <w:tcPr>
            <w:tcW w:w="2555" w:type="dxa"/>
            <w:shd w:val="clear" w:color="auto" w:fill="D9D9D9" w:themeFill="background1" w:themeFillShade="D9"/>
          </w:tcPr>
          <w:p w14:paraId="22D39C40" w14:textId="50A30BD3" w:rsidR="00EA7B8B" w:rsidRDefault="00EA7B8B" w:rsidP="00EA7B8B">
            <w:pPr>
              <w:jc w:val="center"/>
            </w:pPr>
            <w:r>
              <w:t>$0-$41,960</w:t>
            </w:r>
          </w:p>
        </w:tc>
        <w:tc>
          <w:tcPr>
            <w:tcW w:w="2555" w:type="dxa"/>
            <w:shd w:val="clear" w:color="auto" w:fill="D9D9D9" w:themeFill="background1" w:themeFillShade="D9"/>
          </w:tcPr>
          <w:p w14:paraId="2B1E1107" w14:textId="7105D6CC" w:rsidR="00EA7B8B" w:rsidRDefault="00EA7B8B" w:rsidP="00EA7B8B">
            <w:pPr>
              <w:jc w:val="center"/>
            </w:pPr>
            <w:r>
              <w:t>$41,961-$62,940</w:t>
            </w:r>
          </w:p>
        </w:tc>
        <w:tc>
          <w:tcPr>
            <w:tcW w:w="2555" w:type="dxa"/>
            <w:shd w:val="clear" w:color="auto" w:fill="D9D9D9" w:themeFill="background1" w:themeFillShade="D9"/>
          </w:tcPr>
          <w:p w14:paraId="3B8001D9" w14:textId="080E4932" w:rsidR="00EA7B8B" w:rsidRDefault="00EA7B8B" w:rsidP="00EA7B8B">
            <w:pPr>
              <w:jc w:val="center"/>
            </w:pPr>
            <w:r>
              <w:t>$62,941-$83,920</w:t>
            </w:r>
          </w:p>
        </w:tc>
      </w:tr>
      <w:tr w:rsidR="00EA7B8B" w14:paraId="3406E8AD" w14:textId="77777777" w:rsidTr="00EA7B8B">
        <w:trPr>
          <w:trHeight w:val="316"/>
          <w:jc w:val="center"/>
        </w:trPr>
        <w:tc>
          <w:tcPr>
            <w:tcW w:w="2555" w:type="dxa"/>
          </w:tcPr>
          <w:p w14:paraId="2F745468" w14:textId="77777777" w:rsidR="00EA7B8B" w:rsidRDefault="00EA7B8B" w:rsidP="00EA7B8B">
            <w:pPr>
              <w:jc w:val="center"/>
            </w:pPr>
            <w:r>
              <w:t>7</w:t>
            </w:r>
          </w:p>
        </w:tc>
        <w:tc>
          <w:tcPr>
            <w:tcW w:w="2555" w:type="dxa"/>
          </w:tcPr>
          <w:p w14:paraId="1CD6DD12" w14:textId="49EB6013" w:rsidR="00EA7B8B" w:rsidRDefault="00EA7B8B" w:rsidP="00EA7B8B">
            <w:pPr>
              <w:jc w:val="center"/>
            </w:pPr>
            <w:r>
              <w:t>$0-$47,340</w:t>
            </w:r>
          </w:p>
        </w:tc>
        <w:tc>
          <w:tcPr>
            <w:tcW w:w="2555" w:type="dxa"/>
          </w:tcPr>
          <w:p w14:paraId="79EBB35C" w14:textId="32A423F5" w:rsidR="00EA7B8B" w:rsidRDefault="00EA7B8B" w:rsidP="00EA7B8B">
            <w:pPr>
              <w:jc w:val="center"/>
            </w:pPr>
            <w:r>
              <w:t>$47,341-$71,010</w:t>
            </w:r>
          </w:p>
        </w:tc>
        <w:tc>
          <w:tcPr>
            <w:tcW w:w="2555" w:type="dxa"/>
          </w:tcPr>
          <w:p w14:paraId="624CB69F" w14:textId="5E043AF4" w:rsidR="00EA7B8B" w:rsidRDefault="00EA7B8B" w:rsidP="00EA7B8B">
            <w:pPr>
              <w:jc w:val="center"/>
            </w:pPr>
            <w:r>
              <w:t>$71,011-$94,680</w:t>
            </w:r>
          </w:p>
        </w:tc>
      </w:tr>
      <w:tr w:rsidR="00EA7B8B" w14:paraId="3CD4F246" w14:textId="77777777" w:rsidTr="00EA7B8B">
        <w:trPr>
          <w:trHeight w:val="330"/>
          <w:jc w:val="center"/>
        </w:trPr>
        <w:tc>
          <w:tcPr>
            <w:tcW w:w="2555" w:type="dxa"/>
            <w:shd w:val="clear" w:color="auto" w:fill="D9D9D9" w:themeFill="background1" w:themeFillShade="D9"/>
          </w:tcPr>
          <w:p w14:paraId="0818F271" w14:textId="77777777" w:rsidR="00EA7B8B" w:rsidRDefault="00EA7B8B" w:rsidP="00EA7B8B">
            <w:pPr>
              <w:jc w:val="center"/>
            </w:pPr>
            <w:r>
              <w:t>8</w:t>
            </w:r>
          </w:p>
        </w:tc>
        <w:tc>
          <w:tcPr>
            <w:tcW w:w="2555" w:type="dxa"/>
            <w:shd w:val="clear" w:color="auto" w:fill="D9D9D9" w:themeFill="background1" w:themeFillShade="D9"/>
          </w:tcPr>
          <w:p w14:paraId="4019985E" w14:textId="0B144847" w:rsidR="00EA7B8B" w:rsidRDefault="00EA7B8B" w:rsidP="00EA7B8B">
            <w:pPr>
              <w:jc w:val="center"/>
            </w:pPr>
            <w:r>
              <w:t>$0-$52,720</w:t>
            </w:r>
          </w:p>
        </w:tc>
        <w:tc>
          <w:tcPr>
            <w:tcW w:w="2555" w:type="dxa"/>
            <w:shd w:val="clear" w:color="auto" w:fill="D9D9D9" w:themeFill="background1" w:themeFillShade="D9"/>
          </w:tcPr>
          <w:p w14:paraId="30F71448" w14:textId="4DAA2A93" w:rsidR="00EA7B8B" w:rsidRDefault="00EA7B8B" w:rsidP="00EA7B8B">
            <w:pPr>
              <w:jc w:val="center"/>
            </w:pPr>
            <w:r>
              <w:t>$52,721-$79,080</w:t>
            </w:r>
          </w:p>
        </w:tc>
        <w:tc>
          <w:tcPr>
            <w:tcW w:w="2555" w:type="dxa"/>
            <w:shd w:val="clear" w:color="auto" w:fill="D9D9D9" w:themeFill="background1" w:themeFillShade="D9"/>
          </w:tcPr>
          <w:p w14:paraId="11D1E899" w14:textId="14302412" w:rsidR="00EA7B8B" w:rsidRDefault="00EA7B8B" w:rsidP="00EA7B8B">
            <w:pPr>
              <w:jc w:val="center"/>
            </w:pPr>
            <w:r>
              <w:t>$79,081-$105,440</w:t>
            </w:r>
          </w:p>
        </w:tc>
      </w:tr>
      <w:tr w:rsidR="00EA7B8B" w14:paraId="09F5C142" w14:textId="77777777" w:rsidTr="00EA7B8B">
        <w:trPr>
          <w:trHeight w:val="656"/>
          <w:jc w:val="center"/>
        </w:trPr>
        <w:tc>
          <w:tcPr>
            <w:tcW w:w="2555" w:type="dxa"/>
          </w:tcPr>
          <w:p w14:paraId="505F4637" w14:textId="77777777" w:rsidR="00EA7B8B" w:rsidRDefault="00EA7B8B" w:rsidP="00EA7B8B">
            <w:pPr>
              <w:jc w:val="center"/>
            </w:pPr>
            <w:r>
              <w:t>For each additional family member add</w:t>
            </w:r>
          </w:p>
        </w:tc>
        <w:tc>
          <w:tcPr>
            <w:tcW w:w="2555" w:type="dxa"/>
          </w:tcPr>
          <w:p w14:paraId="72157D33" w14:textId="15E471C7" w:rsidR="00EA7B8B" w:rsidRDefault="00EA7B8B" w:rsidP="00EA7B8B">
            <w:pPr>
              <w:jc w:val="center"/>
            </w:pPr>
            <w:r>
              <w:t>$5,380</w:t>
            </w:r>
          </w:p>
        </w:tc>
        <w:tc>
          <w:tcPr>
            <w:tcW w:w="2555" w:type="dxa"/>
          </w:tcPr>
          <w:p w14:paraId="3D7109D5" w14:textId="77ED8B59" w:rsidR="00EA7B8B" w:rsidRDefault="00EA7B8B" w:rsidP="00EA7B8B">
            <w:pPr>
              <w:jc w:val="center"/>
            </w:pPr>
            <w:r>
              <w:t>$8,070</w:t>
            </w:r>
          </w:p>
        </w:tc>
        <w:tc>
          <w:tcPr>
            <w:tcW w:w="2555" w:type="dxa"/>
          </w:tcPr>
          <w:p w14:paraId="34931768" w14:textId="6F07CE0A" w:rsidR="00EA7B8B" w:rsidRDefault="00EA7B8B" w:rsidP="00EA7B8B">
            <w:pPr>
              <w:jc w:val="center"/>
            </w:pPr>
            <w:r>
              <w:t>$10,760</w:t>
            </w:r>
          </w:p>
        </w:tc>
      </w:tr>
    </w:tbl>
    <w:p w14:paraId="4E468D69" w14:textId="77777777" w:rsidR="00EA7B8B" w:rsidRDefault="00EA7B8B" w:rsidP="00D35CEF">
      <w:pPr>
        <w:spacing w:before="3" w:line="256" w:lineRule="exact"/>
        <w:ind w:left="72"/>
        <w:textAlignment w:val="baseline"/>
        <w:rPr>
          <w:rFonts w:ascii="Times New Roman" w:eastAsia="Times New Roman" w:hAnsi="Times New Roman" w:cs="Times New Roman"/>
          <w:sz w:val="24"/>
          <w:szCs w:val="24"/>
        </w:rPr>
      </w:pPr>
    </w:p>
    <w:p w14:paraId="43B3FFE8" w14:textId="2B8A6952" w:rsidR="00EA7B8B" w:rsidRDefault="00EA7B8B" w:rsidP="00EA7B8B">
      <w:pPr>
        <w:spacing w:before="3" w:line="256" w:lineRule="exact"/>
        <w:ind w:left="72"/>
        <w:jc w:val="center"/>
        <w:textAlignment w:val="baseline"/>
        <w:rPr>
          <w:rFonts w:ascii="Times New Roman" w:eastAsia="Times New Roman" w:hAnsi="Times New Roman" w:cs="Times New Roman"/>
          <w:sz w:val="24"/>
          <w:szCs w:val="24"/>
        </w:rPr>
      </w:pPr>
      <w:r w:rsidRPr="00EA7B8B">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The following offices provide CCBHC services: Bangor, Dover, Ellsworth, and Lincoln.</w:t>
      </w:r>
    </w:p>
    <w:tbl>
      <w:tblPr>
        <w:tblStyle w:val="TableGrid"/>
        <w:tblW w:w="10255" w:type="dxa"/>
        <w:jc w:val="center"/>
        <w:tblLook w:val="04A0" w:firstRow="1" w:lastRow="0" w:firstColumn="1" w:lastColumn="0" w:noHBand="0" w:noVBand="1"/>
      </w:tblPr>
      <w:tblGrid>
        <w:gridCol w:w="2515"/>
        <w:gridCol w:w="2610"/>
        <w:gridCol w:w="2520"/>
        <w:gridCol w:w="2610"/>
      </w:tblGrid>
      <w:tr w:rsidR="00EA7B8B" w:rsidRPr="00403C75" w14:paraId="34EA5259" w14:textId="77777777" w:rsidTr="00EA7B8B">
        <w:trPr>
          <w:jc w:val="center"/>
        </w:trPr>
        <w:tc>
          <w:tcPr>
            <w:tcW w:w="2515" w:type="dxa"/>
          </w:tcPr>
          <w:p w14:paraId="34F0468A" w14:textId="77777777" w:rsidR="00EA7B8B" w:rsidRPr="00403C75" w:rsidRDefault="00EA7B8B" w:rsidP="00EE3929">
            <w:r w:rsidRPr="00403C75">
              <w:t>Outpatient Visit</w:t>
            </w:r>
          </w:p>
        </w:tc>
        <w:tc>
          <w:tcPr>
            <w:tcW w:w="2610" w:type="dxa"/>
          </w:tcPr>
          <w:p w14:paraId="00CEDA67" w14:textId="77777777" w:rsidR="00EA7B8B" w:rsidRPr="00403C75" w:rsidRDefault="00EA7B8B" w:rsidP="00EE3929">
            <w:pPr>
              <w:jc w:val="center"/>
              <w:rPr>
                <w:b/>
                <w:bCs/>
              </w:rPr>
            </w:pPr>
            <w:r w:rsidRPr="00403C75">
              <w:rPr>
                <w:b/>
                <w:bCs/>
              </w:rPr>
              <w:t>10% of Current Rate</w:t>
            </w:r>
          </w:p>
        </w:tc>
        <w:tc>
          <w:tcPr>
            <w:tcW w:w="2520" w:type="dxa"/>
          </w:tcPr>
          <w:p w14:paraId="1A9D52B9" w14:textId="77777777" w:rsidR="00EA7B8B" w:rsidRPr="00403C75" w:rsidRDefault="00EA7B8B" w:rsidP="00EE3929">
            <w:pPr>
              <w:jc w:val="center"/>
              <w:rPr>
                <w:b/>
                <w:bCs/>
              </w:rPr>
            </w:pPr>
            <w:r w:rsidRPr="00403C75">
              <w:rPr>
                <w:b/>
                <w:bCs/>
              </w:rPr>
              <w:t>20% of Current Rate</w:t>
            </w:r>
          </w:p>
        </w:tc>
        <w:tc>
          <w:tcPr>
            <w:tcW w:w="2610" w:type="dxa"/>
          </w:tcPr>
          <w:p w14:paraId="207B4A9E" w14:textId="77777777" w:rsidR="00EA7B8B" w:rsidRPr="00403C75" w:rsidRDefault="00EA7B8B" w:rsidP="00EE3929">
            <w:pPr>
              <w:jc w:val="center"/>
              <w:rPr>
                <w:b/>
                <w:bCs/>
              </w:rPr>
            </w:pPr>
            <w:r w:rsidRPr="00403C75">
              <w:rPr>
                <w:b/>
                <w:bCs/>
              </w:rPr>
              <w:t>30% of Current Rate</w:t>
            </w:r>
          </w:p>
        </w:tc>
      </w:tr>
      <w:tr w:rsidR="00EA7B8B" w:rsidRPr="00403C75" w14:paraId="1E155686" w14:textId="77777777" w:rsidTr="00EA7B8B">
        <w:trPr>
          <w:jc w:val="center"/>
        </w:trPr>
        <w:tc>
          <w:tcPr>
            <w:tcW w:w="2515" w:type="dxa"/>
          </w:tcPr>
          <w:p w14:paraId="1C65F258" w14:textId="77777777" w:rsidR="00EA7B8B" w:rsidRPr="00403C75" w:rsidRDefault="00EA7B8B" w:rsidP="00EE3929">
            <w:r w:rsidRPr="00403C75">
              <w:t>CCBHC Services</w:t>
            </w:r>
          </w:p>
        </w:tc>
        <w:tc>
          <w:tcPr>
            <w:tcW w:w="2610" w:type="dxa"/>
          </w:tcPr>
          <w:p w14:paraId="0E0ED92D" w14:textId="77777777" w:rsidR="00EA7B8B" w:rsidRPr="00403C75" w:rsidRDefault="00EA7B8B" w:rsidP="00EE3929">
            <w:pPr>
              <w:jc w:val="center"/>
              <w:rPr>
                <w:b/>
                <w:bCs/>
              </w:rPr>
            </w:pPr>
            <w:r w:rsidRPr="00403C75">
              <w:rPr>
                <w:b/>
                <w:bCs/>
              </w:rPr>
              <w:t>$0</w:t>
            </w:r>
          </w:p>
        </w:tc>
        <w:tc>
          <w:tcPr>
            <w:tcW w:w="2520" w:type="dxa"/>
          </w:tcPr>
          <w:p w14:paraId="6AAE3BD8" w14:textId="77777777" w:rsidR="00EA7B8B" w:rsidRPr="00403C75" w:rsidRDefault="00EA7B8B" w:rsidP="00EE3929">
            <w:pPr>
              <w:jc w:val="center"/>
              <w:rPr>
                <w:b/>
                <w:bCs/>
              </w:rPr>
            </w:pPr>
            <w:r w:rsidRPr="00403C75">
              <w:rPr>
                <w:b/>
                <w:bCs/>
              </w:rPr>
              <w:t>$0</w:t>
            </w:r>
          </w:p>
        </w:tc>
        <w:tc>
          <w:tcPr>
            <w:tcW w:w="2610" w:type="dxa"/>
          </w:tcPr>
          <w:p w14:paraId="393AC145" w14:textId="77777777" w:rsidR="00EA7B8B" w:rsidRPr="00403C75" w:rsidRDefault="00EA7B8B" w:rsidP="00EE3929">
            <w:pPr>
              <w:jc w:val="center"/>
              <w:rPr>
                <w:b/>
                <w:bCs/>
              </w:rPr>
            </w:pPr>
            <w:r w:rsidRPr="00403C75">
              <w:rPr>
                <w:b/>
                <w:bCs/>
              </w:rPr>
              <w:t>$0</w:t>
            </w:r>
          </w:p>
        </w:tc>
      </w:tr>
    </w:tbl>
    <w:p w14:paraId="07C6E435" w14:textId="792367BC" w:rsidR="003A54F4" w:rsidRPr="003A54F4" w:rsidRDefault="003A54F4" w:rsidP="003A54F4">
      <w:pPr>
        <w:spacing w:before="100" w:beforeAutospacing="1" w:after="270"/>
        <w:jc w:val="center"/>
        <w:rPr>
          <w:rFonts w:ascii="Times New Roman" w:hAnsi="Times New Roman" w:cs="Times New Roman"/>
          <w:sz w:val="24"/>
          <w:szCs w:val="24"/>
        </w:rPr>
      </w:pPr>
      <w:bookmarkStart w:id="0" w:name="_Hlk192767741"/>
      <w:r w:rsidRPr="003A54F4">
        <w:rPr>
          <w:rFonts w:ascii="Times New Roman" w:hAnsi="Times New Roman" w:cs="Times New Roman"/>
          <w:b/>
          <w:bCs/>
          <w:sz w:val="24"/>
          <w:szCs w:val="24"/>
        </w:rPr>
        <w:t>ATTENTION</w:t>
      </w:r>
      <w:r w:rsidRPr="003A54F4">
        <w:rPr>
          <w:rFonts w:ascii="Times New Roman" w:hAnsi="Times New Roman" w:cs="Times New Roman"/>
          <w:sz w:val="24"/>
          <w:szCs w:val="24"/>
        </w:rPr>
        <w:t xml:space="preserve">: If you </w:t>
      </w:r>
      <w:r w:rsidRPr="00613FE6">
        <w:rPr>
          <w:rFonts w:ascii="Times New Roman" w:hAnsi="Times New Roman" w:cs="Times New Roman"/>
          <w:sz w:val="24"/>
          <w:szCs w:val="24"/>
        </w:rPr>
        <w:t xml:space="preserve">don’t </w:t>
      </w:r>
      <w:r w:rsidRPr="003A54F4">
        <w:rPr>
          <w:rFonts w:ascii="Times New Roman" w:hAnsi="Times New Roman" w:cs="Times New Roman"/>
          <w:sz w:val="24"/>
          <w:szCs w:val="24"/>
        </w:rPr>
        <w:t>speak English, free language assistance services are available to you. Appropriate auxiliary aids and services to provide information in accessible formats are also available free of charge. Call 1-800-924-0366 or speak to your provider.</w:t>
      </w:r>
    </w:p>
    <w:bookmarkEnd w:id="0"/>
    <w:sectPr w:rsidR="003A54F4" w:rsidRPr="003A54F4" w:rsidSect="00D35CEF">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3E87" w14:textId="77777777" w:rsidR="00C46C5B" w:rsidRDefault="00C46C5B" w:rsidP="00EA7B8B">
      <w:pPr>
        <w:spacing w:after="0" w:line="240" w:lineRule="auto"/>
      </w:pPr>
      <w:r>
        <w:separator/>
      </w:r>
    </w:p>
  </w:endnote>
  <w:endnote w:type="continuationSeparator" w:id="0">
    <w:p w14:paraId="430F88F1" w14:textId="77777777" w:rsidR="00C46C5B" w:rsidRDefault="00C46C5B" w:rsidP="00EA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027C" w14:textId="19F7F0E8" w:rsidR="00EA7B8B" w:rsidRDefault="00EA7B8B">
    <w:pPr>
      <w:pStyle w:val="Footer"/>
    </w:pPr>
    <w:r>
      <w:t xml:space="preserve">CHCS Sliding Fee Scale, </w:t>
    </w:r>
    <w:r w:rsidR="003A54F4">
      <w:t>March</w:t>
    </w:r>
    <w:r>
      <w:t xml:space="preserve"> 2025</w:t>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ECDD" w14:textId="77777777" w:rsidR="00C46C5B" w:rsidRDefault="00C46C5B" w:rsidP="00EA7B8B">
      <w:pPr>
        <w:spacing w:after="0" w:line="240" w:lineRule="auto"/>
      </w:pPr>
      <w:r>
        <w:separator/>
      </w:r>
    </w:p>
  </w:footnote>
  <w:footnote w:type="continuationSeparator" w:id="0">
    <w:p w14:paraId="0E39AB34" w14:textId="77777777" w:rsidR="00C46C5B" w:rsidRDefault="00C46C5B" w:rsidP="00EA7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EF"/>
    <w:rsid w:val="00395080"/>
    <w:rsid w:val="003A54F4"/>
    <w:rsid w:val="00471F0F"/>
    <w:rsid w:val="004C6B15"/>
    <w:rsid w:val="0053254F"/>
    <w:rsid w:val="00552CE4"/>
    <w:rsid w:val="00613FE6"/>
    <w:rsid w:val="00795D76"/>
    <w:rsid w:val="00820716"/>
    <w:rsid w:val="0085036C"/>
    <w:rsid w:val="00942CA4"/>
    <w:rsid w:val="00BC6837"/>
    <w:rsid w:val="00C37FA1"/>
    <w:rsid w:val="00C46C5B"/>
    <w:rsid w:val="00D35CEF"/>
    <w:rsid w:val="00EA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73A2"/>
  <w15:chartTrackingRefBased/>
  <w15:docId w15:val="{514CDBC8-88C4-48DD-A783-DBA02E91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CEF"/>
    <w:rPr>
      <w:rFonts w:eastAsiaTheme="majorEastAsia" w:cstheme="majorBidi"/>
      <w:color w:val="272727" w:themeColor="text1" w:themeTint="D8"/>
    </w:rPr>
  </w:style>
  <w:style w:type="paragraph" w:styleId="Title">
    <w:name w:val="Title"/>
    <w:basedOn w:val="Normal"/>
    <w:next w:val="Normal"/>
    <w:link w:val="TitleChar"/>
    <w:uiPriority w:val="10"/>
    <w:qFormat/>
    <w:rsid w:val="00D3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CEF"/>
    <w:pPr>
      <w:spacing w:before="160"/>
      <w:jc w:val="center"/>
    </w:pPr>
    <w:rPr>
      <w:i/>
      <w:iCs/>
      <w:color w:val="404040" w:themeColor="text1" w:themeTint="BF"/>
    </w:rPr>
  </w:style>
  <w:style w:type="character" w:customStyle="1" w:styleId="QuoteChar">
    <w:name w:val="Quote Char"/>
    <w:basedOn w:val="DefaultParagraphFont"/>
    <w:link w:val="Quote"/>
    <w:uiPriority w:val="29"/>
    <w:rsid w:val="00D35CEF"/>
    <w:rPr>
      <w:i/>
      <w:iCs/>
      <w:color w:val="404040" w:themeColor="text1" w:themeTint="BF"/>
    </w:rPr>
  </w:style>
  <w:style w:type="paragraph" w:styleId="ListParagraph">
    <w:name w:val="List Paragraph"/>
    <w:basedOn w:val="Normal"/>
    <w:uiPriority w:val="34"/>
    <w:qFormat/>
    <w:rsid w:val="00D35CEF"/>
    <w:pPr>
      <w:ind w:left="720"/>
      <w:contextualSpacing/>
    </w:pPr>
  </w:style>
  <w:style w:type="character" w:styleId="IntenseEmphasis">
    <w:name w:val="Intense Emphasis"/>
    <w:basedOn w:val="DefaultParagraphFont"/>
    <w:uiPriority w:val="21"/>
    <w:qFormat/>
    <w:rsid w:val="00D35CEF"/>
    <w:rPr>
      <w:i/>
      <w:iCs/>
      <w:color w:val="0F4761" w:themeColor="accent1" w:themeShade="BF"/>
    </w:rPr>
  </w:style>
  <w:style w:type="paragraph" w:styleId="IntenseQuote">
    <w:name w:val="Intense Quote"/>
    <w:basedOn w:val="Normal"/>
    <w:next w:val="Normal"/>
    <w:link w:val="IntenseQuoteChar"/>
    <w:uiPriority w:val="30"/>
    <w:qFormat/>
    <w:rsid w:val="00D3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CEF"/>
    <w:rPr>
      <w:i/>
      <w:iCs/>
      <w:color w:val="0F4761" w:themeColor="accent1" w:themeShade="BF"/>
    </w:rPr>
  </w:style>
  <w:style w:type="character" w:styleId="IntenseReference">
    <w:name w:val="Intense Reference"/>
    <w:basedOn w:val="DefaultParagraphFont"/>
    <w:uiPriority w:val="32"/>
    <w:qFormat/>
    <w:rsid w:val="00D35CEF"/>
    <w:rPr>
      <w:b/>
      <w:bCs/>
      <w:smallCaps/>
      <w:color w:val="0F4761" w:themeColor="accent1" w:themeShade="BF"/>
      <w:spacing w:val="5"/>
    </w:rPr>
  </w:style>
  <w:style w:type="table" w:styleId="TableGrid">
    <w:name w:val="Table Grid"/>
    <w:basedOn w:val="TableNormal"/>
    <w:uiPriority w:val="39"/>
    <w:rsid w:val="00EA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B8B"/>
  </w:style>
  <w:style w:type="paragraph" w:styleId="Footer">
    <w:name w:val="footer"/>
    <w:basedOn w:val="Normal"/>
    <w:link w:val="FooterChar"/>
    <w:uiPriority w:val="99"/>
    <w:unhideWhenUsed/>
    <w:rsid w:val="00EA7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8B"/>
  </w:style>
  <w:style w:type="paragraph" w:styleId="NormalWeb">
    <w:name w:val="Normal (Web)"/>
    <w:basedOn w:val="Normal"/>
    <w:uiPriority w:val="99"/>
    <w:semiHidden/>
    <w:unhideWhenUsed/>
    <w:rsid w:val="003950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275">
      <w:bodyDiv w:val="1"/>
      <w:marLeft w:val="0"/>
      <w:marRight w:val="0"/>
      <w:marTop w:val="0"/>
      <w:marBottom w:val="0"/>
      <w:divBdr>
        <w:top w:val="none" w:sz="0" w:space="0" w:color="auto"/>
        <w:left w:val="none" w:sz="0" w:space="0" w:color="auto"/>
        <w:bottom w:val="none" w:sz="0" w:space="0" w:color="auto"/>
        <w:right w:val="none" w:sz="0" w:space="0" w:color="auto"/>
      </w:divBdr>
      <w:divsChild>
        <w:div w:id="215089289">
          <w:marLeft w:val="0"/>
          <w:marRight w:val="0"/>
          <w:marTop w:val="0"/>
          <w:marBottom w:val="0"/>
          <w:divBdr>
            <w:top w:val="none" w:sz="0" w:space="0" w:color="auto"/>
            <w:left w:val="none" w:sz="0" w:space="0" w:color="auto"/>
            <w:bottom w:val="none" w:sz="0" w:space="0" w:color="auto"/>
            <w:right w:val="none" w:sz="0" w:space="0" w:color="auto"/>
          </w:divBdr>
        </w:div>
      </w:divsChild>
    </w:div>
    <w:div w:id="304504597">
      <w:bodyDiv w:val="1"/>
      <w:marLeft w:val="0"/>
      <w:marRight w:val="0"/>
      <w:marTop w:val="0"/>
      <w:marBottom w:val="0"/>
      <w:divBdr>
        <w:top w:val="none" w:sz="0" w:space="0" w:color="auto"/>
        <w:left w:val="none" w:sz="0" w:space="0" w:color="auto"/>
        <w:bottom w:val="none" w:sz="0" w:space="0" w:color="auto"/>
        <w:right w:val="none" w:sz="0" w:space="0" w:color="auto"/>
      </w:divBdr>
      <w:divsChild>
        <w:div w:id="1727991442">
          <w:marLeft w:val="0"/>
          <w:marRight w:val="0"/>
          <w:marTop w:val="0"/>
          <w:marBottom w:val="0"/>
          <w:divBdr>
            <w:top w:val="none" w:sz="0" w:space="0" w:color="auto"/>
            <w:left w:val="none" w:sz="0" w:space="0" w:color="auto"/>
            <w:bottom w:val="none" w:sz="0" w:space="0" w:color="auto"/>
            <w:right w:val="none" w:sz="0" w:space="0" w:color="auto"/>
          </w:divBdr>
        </w:div>
      </w:divsChild>
    </w:div>
    <w:div w:id="1408764650">
      <w:bodyDiv w:val="1"/>
      <w:marLeft w:val="0"/>
      <w:marRight w:val="0"/>
      <w:marTop w:val="0"/>
      <w:marBottom w:val="0"/>
      <w:divBdr>
        <w:top w:val="none" w:sz="0" w:space="0" w:color="auto"/>
        <w:left w:val="none" w:sz="0" w:space="0" w:color="auto"/>
        <w:bottom w:val="none" w:sz="0" w:space="0" w:color="auto"/>
        <w:right w:val="none" w:sz="0" w:space="0" w:color="auto"/>
      </w:divBdr>
    </w:div>
    <w:div w:id="1584684871">
      <w:bodyDiv w:val="1"/>
      <w:marLeft w:val="0"/>
      <w:marRight w:val="0"/>
      <w:marTop w:val="0"/>
      <w:marBottom w:val="0"/>
      <w:divBdr>
        <w:top w:val="none" w:sz="0" w:space="0" w:color="auto"/>
        <w:left w:val="none" w:sz="0" w:space="0" w:color="auto"/>
        <w:bottom w:val="none" w:sz="0" w:space="0" w:color="auto"/>
        <w:right w:val="none" w:sz="0" w:space="0" w:color="auto"/>
      </w:divBdr>
      <w:divsChild>
        <w:div w:id="1941331563">
          <w:marLeft w:val="0"/>
          <w:marRight w:val="0"/>
          <w:marTop w:val="0"/>
          <w:marBottom w:val="0"/>
          <w:divBdr>
            <w:top w:val="none" w:sz="0" w:space="0" w:color="auto"/>
            <w:left w:val="none" w:sz="0" w:space="0" w:color="auto"/>
            <w:bottom w:val="none" w:sz="0" w:space="0" w:color="auto"/>
            <w:right w:val="none" w:sz="0" w:space="0" w:color="auto"/>
          </w:divBdr>
        </w:div>
      </w:divsChild>
    </w:div>
    <w:div w:id="1719284626">
      <w:bodyDiv w:val="1"/>
      <w:marLeft w:val="0"/>
      <w:marRight w:val="0"/>
      <w:marTop w:val="0"/>
      <w:marBottom w:val="0"/>
      <w:divBdr>
        <w:top w:val="none" w:sz="0" w:space="0" w:color="auto"/>
        <w:left w:val="none" w:sz="0" w:space="0" w:color="auto"/>
        <w:bottom w:val="none" w:sz="0" w:space="0" w:color="auto"/>
        <w:right w:val="none" w:sz="0" w:space="0" w:color="auto"/>
      </w:divBdr>
      <w:divsChild>
        <w:div w:id="1687171812">
          <w:marLeft w:val="0"/>
          <w:marRight w:val="0"/>
          <w:marTop w:val="0"/>
          <w:marBottom w:val="0"/>
          <w:divBdr>
            <w:top w:val="none" w:sz="0" w:space="0" w:color="auto"/>
            <w:left w:val="none" w:sz="0" w:space="0" w:color="auto"/>
            <w:bottom w:val="none" w:sz="0" w:space="0" w:color="auto"/>
            <w:right w:val="none" w:sz="0" w:space="0" w:color="auto"/>
          </w:divBdr>
        </w:div>
      </w:divsChild>
    </w:div>
    <w:div w:id="1962028731">
      <w:bodyDiv w:val="1"/>
      <w:marLeft w:val="0"/>
      <w:marRight w:val="0"/>
      <w:marTop w:val="0"/>
      <w:marBottom w:val="0"/>
      <w:divBdr>
        <w:top w:val="none" w:sz="0" w:space="0" w:color="auto"/>
        <w:left w:val="none" w:sz="0" w:space="0" w:color="auto"/>
        <w:bottom w:val="none" w:sz="0" w:space="0" w:color="auto"/>
        <w:right w:val="none" w:sz="0" w:space="0" w:color="auto"/>
      </w:divBdr>
      <w:divsChild>
        <w:div w:id="49237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Humphrey</dc:creator>
  <cp:keywords/>
  <dc:description/>
  <cp:lastModifiedBy>Michelle Humphrey</cp:lastModifiedBy>
  <cp:revision>2</cp:revision>
  <cp:lastPrinted>2025-03-13T11:10:00Z</cp:lastPrinted>
  <dcterms:created xsi:type="dcterms:W3CDTF">2025-03-13T19:36:00Z</dcterms:created>
  <dcterms:modified xsi:type="dcterms:W3CDTF">2025-03-13T19:36:00Z</dcterms:modified>
</cp:coreProperties>
</file>